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7E" w:rsidRPr="00213EE5" w:rsidRDefault="00B76B7E" w:rsidP="00B7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3EE5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Есіл ауданы бойынша білім бөлімі</w:t>
      </w:r>
      <w:r>
        <w:rPr>
          <w:rFonts w:ascii="Times New Roman" w:hAnsi="Times New Roman" w:cs="Times New Roman"/>
          <w:b/>
          <w:sz w:val="28"/>
          <w:lang w:val="kk-KZ"/>
        </w:rPr>
        <w:t xml:space="preserve"> Есіл қаласының Сайлау Серіков атныдағы жалпы орта білім беретін мектебі</w:t>
      </w:r>
      <w:r w:rsidRPr="00213EE5">
        <w:rPr>
          <w:rFonts w:ascii="Times New Roman" w:hAnsi="Times New Roman" w:cs="Times New Roman"/>
          <w:b/>
          <w:sz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 xml:space="preserve"> коммуналдық</w:t>
      </w:r>
      <w:r w:rsidRPr="00213EE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B5570"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Pr="00213EE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B76B7E" w:rsidRDefault="00B76B7E" w:rsidP="00B7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76B7E" w:rsidRDefault="00B76B7E" w:rsidP="00B76B7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 w:rsidR="00DB5570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31 наурыз аралығында.</w:t>
      </w:r>
    </w:p>
    <w:p w:rsidR="00B76B7E" w:rsidRDefault="00B76B7E" w:rsidP="00B76B7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Көпшілік талқылауды өткізу әдісі: 2</w:t>
      </w:r>
      <w:r w:rsidR="00DB5570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ақпан 202</w:t>
      </w:r>
      <w:r w:rsidR="00DB5570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жылы </w:t>
      </w:r>
      <w:r w:rsidRPr="008B0CFE">
        <w:rPr>
          <w:rFonts w:ascii="Times New Roman" w:hAnsi="Times New Roman" w:cs="Times New Roman"/>
          <w:sz w:val="28"/>
          <w:lang w:val="kk-KZ"/>
        </w:rPr>
        <w:t>«Ақмола облысы білім басқармасының Есіл ауданы бойынша білім бөлімі Есіл қаласының Сайлау Серіков атныдағы жалпы орта білім беретін мектебі» коммуналдық мемлекеттік мекемесінің</w:t>
      </w:r>
      <w:r w:rsidRPr="00FB747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сайтында</w:t>
      </w:r>
      <w:r w:rsidR="00DB5570">
        <w:rPr>
          <w:lang w:val="kk-KZ"/>
        </w:rPr>
        <w:t xml:space="preserve"> </w:t>
      </w:r>
      <w:hyperlink r:id="rId4" w:history="1">
        <w:r w:rsidR="00DB5570" w:rsidRPr="00DF0A41">
          <w:rPr>
            <w:rStyle w:val="a6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http://sc0003.esil.aqmoedu.kz/content/otchet-po-gosudarstvennym-uslugam-za-2024-god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ab/>
      </w:r>
    </w:p>
    <w:p w:rsidR="00B76B7E" w:rsidRPr="00B519E9" w:rsidRDefault="00B76B7E" w:rsidP="00B76B7E">
      <w:pPr>
        <w:spacing w:after="0" w:line="240" w:lineRule="auto"/>
        <w:ind w:firstLine="708"/>
        <w:jc w:val="both"/>
        <w:rPr>
          <w:lang w:val="kk-KZ"/>
        </w:rPr>
      </w:pPr>
      <w:r w:rsidRPr="006760BF">
        <w:rPr>
          <w:rFonts w:ascii="Times New Roman" w:hAnsi="Times New Roman" w:cs="Times New Roman"/>
          <w:sz w:val="28"/>
          <w:szCs w:val="28"/>
          <w:lang w:val="kk-KZ"/>
        </w:rPr>
        <w:t>3. Көпшілік талқылау өткіз</w:t>
      </w:r>
      <w:r>
        <w:rPr>
          <w:rFonts w:ascii="Times New Roman" w:hAnsi="Times New Roman" w:cs="Times New Roman"/>
          <w:sz w:val="28"/>
          <w:szCs w:val="28"/>
          <w:lang w:val="kk-KZ"/>
        </w:rPr>
        <w:t>у туралы хабарландыру әдісі: 202</w:t>
      </w:r>
      <w:r w:rsidR="00DB557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 жылғы                        </w:t>
      </w:r>
      <w:r w:rsidR="00DB557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ақпанда </w:t>
      </w:r>
      <w:r w:rsidRPr="008B0CFE">
        <w:rPr>
          <w:rFonts w:ascii="Times New Roman" w:hAnsi="Times New Roman" w:cs="Times New Roman"/>
          <w:sz w:val="28"/>
          <w:lang w:val="kk-KZ"/>
        </w:rPr>
        <w:t>«Ақмола облысы білім басқармасының Есіл ауданы бойынша білім бөлімі Есіл қаласының Сайлау Серіков атныдағы жалпы орта білім беретін мектебі» коммуналдық мемлекеттік мекемесінің</w:t>
      </w:r>
      <w:r w:rsidRPr="00676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>сайтында</w:t>
      </w:r>
      <w:r w:rsidRPr="00916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http://sc0003.esil.aqmoedu.kz/content/otchetodeyatelynosti-v-sfere-okazaniya-gosudarstvennyh-uslug-za-2024-g</w:t>
      </w:r>
      <w:r w:rsidR="00DB5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 орналастырылды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6B7E" w:rsidRDefault="00B76B7E" w:rsidP="00B76B7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8B0CFE">
        <w:rPr>
          <w:rFonts w:ascii="Times New Roman" w:hAnsi="Times New Roman" w:cs="Times New Roman"/>
          <w:sz w:val="28"/>
          <w:lang w:val="kk-KZ"/>
        </w:rPr>
        <w:t>«Ақмола облысы білім басқармасының Есіл ауданы бойынша білім бөлімі Есіл қаласының Сайлау Серіков атныдағы жалпы орта білім беретін мектебі» коммуналдық мемлекеттік мекемесінің</w:t>
      </w:r>
      <w:r w:rsidRPr="00FB747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B76B7E" w:rsidRDefault="00B76B7E" w:rsidP="00B76B7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"/>
        <w:gridCol w:w="2167"/>
        <w:gridCol w:w="2002"/>
        <w:gridCol w:w="1840"/>
        <w:gridCol w:w="1840"/>
        <w:gridCol w:w="1400"/>
      </w:tblGrid>
      <w:tr w:rsidR="00B76B7E" w:rsidTr="0083714E">
        <w:tc>
          <w:tcPr>
            <w:tcW w:w="421" w:type="dxa"/>
          </w:tcPr>
          <w:p w:rsidR="00B76B7E" w:rsidRPr="00F44318" w:rsidRDefault="00B76B7E" w:rsidP="0083714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B76B7E" w:rsidRPr="00F44318" w:rsidRDefault="00B76B7E" w:rsidP="0083714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B76B7E" w:rsidRPr="00F44318" w:rsidRDefault="00B76B7E" w:rsidP="0083714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B76B7E" w:rsidRPr="00F44318" w:rsidRDefault="00B76B7E" w:rsidP="0083714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B76B7E" w:rsidRPr="00F44318" w:rsidRDefault="00B76B7E" w:rsidP="0083714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B76B7E" w:rsidRPr="00F44318" w:rsidRDefault="00B76B7E" w:rsidP="0083714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B76B7E" w:rsidTr="0083714E">
        <w:tc>
          <w:tcPr>
            <w:tcW w:w="421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B76B7E" w:rsidTr="0083714E">
        <w:tc>
          <w:tcPr>
            <w:tcW w:w="421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B76B7E" w:rsidRDefault="00B76B7E" w:rsidP="008371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B76B7E" w:rsidRDefault="00B76B7E" w:rsidP="00B76B7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B76B7E" w:rsidRDefault="00B76B7E" w:rsidP="00B76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5570" w:rsidRDefault="00DB5570" w:rsidP="00B76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5570" w:rsidRDefault="00DB5570" w:rsidP="00B76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5570" w:rsidRDefault="00DB5570" w:rsidP="00B76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5570" w:rsidRDefault="00DB5570" w:rsidP="00B76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5570" w:rsidRDefault="00DB5570" w:rsidP="00B76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76B7E" w:rsidRDefault="00B76B7E" w:rsidP="00DB5570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B7E10" w:rsidRDefault="000B7E10" w:rsidP="00A850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Заключение об итогах проведения публичного обсуждения отчета о деятельности КГУ «Общеобразовательная школа имени Сайлау Серикова города Есиль отдела образования по Есильскому району управления образования Акмолинской области» в сфере оказания государственных услуг за 202</w:t>
      </w:r>
      <w:r w:rsidR="00517E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:rsidR="00A850F8" w:rsidRDefault="00A850F8" w:rsidP="00A850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B7E10" w:rsidRDefault="000B7E10" w:rsidP="008C5D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Дата проведения публичного обсуж</w:t>
      </w:r>
      <w:r w:rsidR="00CF14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дения с 1 марта по 31 марта 202</w:t>
      </w:r>
      <w:r w:rsidR="00517E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года.</w:t>
      </w:r>
    </w:p>
    <w:p w:rsidR="008C5DD9" w:rsidRDefault="000B7E10" w:rsidP="008C5D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Способ проведения публичного обсуждения: </w:t>
      </w:r>
      <w:r w:rsidRPr="008C5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DB5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8C5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февраля 202</w:t>
      </w:r>
      <w:r w:rsidR="00DB5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на сайте </w:t>
      </w:r>
      <w:r w:rsidRPr="000B7E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КГУ «Общеобразовательная школа имени Сайлау Серикова города Есиль отдела образования по Есильскому району управления образования Акмолинской области»</w:t>
      </w:r>
      <w:r w:rsidR="008C5D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52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begin"/>
      </w:r>
      <w:r w:rsidR="00152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 xml:space="preserve"> HYPERLINK "</w:instrText>
      </w:r>
      <w:r w:rsidR="001521F8" w:rsidRPr="00152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>http://sc0003.esil.aqmoedu.kz/content/otchet-po-gosudarstvennym-uslugam-za-2024-god</w:instrText>
      </w:r>
      <w:r w:rsidR="00152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 xml:space="preserve">" </w:instrText>
      </w:r>
      <w:r w:rsidR="00152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separate"/>
      </w:r>
      <w:r w:rsidR="001521F8" w:rsidRPr="00DF0A41">
        <w:rPr>
          <w:rStyle w:val="a6"/>
          <w:rFonts w:ascii="Times New Roman" w:eastAsia="Times New Roman" w:hAnsi="Times New Roman" w:cs="Times New Roman"/>
          <w:sz w:val="28"/>
          <w:szCs w:val="28"/>
          <w:lang w:val="kk-KZ" w:eastAsia="ru-RU"/>
        </w:rPr>
        <w:t>http://sc0003.esil.aqmoedu.kz/content/otchet-po-gosudarstvennym-uslugam-za-2024-god</w:t>
      </w:r>
      <w:r w:rsidR="00152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="005907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B7E10" w:rsidRPr="005B177D" w:rsidRDefault="000B7E10" w:rsidP="005B177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Способ оповещения о про</w:t>
      </w:r>
      <w:r w:rsidR="008C5D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ведении публичного обсуждения: </w:t>
      </w:r>
      <w:r w:rsidR="00DB55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февраля 202</w:t>
      </w:r>
      <w:r w:rsidR="00517E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года, размещение информации на сайте 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http://sc0003.esil.aqmoedu.kz/content/otchetodeyatelynosti-v-sfere-okazaniya-gosudarstvennyh-uslug-za-2024-g</w:t>
      </w:r>
      <w:r w:rsidR="005B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КГУ «Общеобразовательная </w:t>
      </w:r>
      <w:r w:rsidR="00755ECB" w:rsidRPr="000B7E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 имени Сайлау Серикова города Есиль отдела образования по Есильскому району управления образования Акмолинской области»</w:t>
      </w:r>
      <w:r w:rsidR="00755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55ECB" w:rsidRPr="005508B1" w:rsidRDefault="00755ECB" w:rsidP="008C5D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B1">
        <w:rPr>
          <w:rFonts w:ascii="Times New Roman" w:hAnsi="Times New Roman" w:cs="Times New Roman"/>
          <w:sz w:val="28"/>
          <w:szCs w:val="28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</w:t>
      </w:r>
      <w:r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КГУ «</w:t>
      </w:r>
      <w:r w:rsidRPr="000B7E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Общеобразовательная школа имени Сайлау Серикова города Есиль отдела образования по Есильскому району управления образования Акмолинской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5508B1">
        <w:rPr>
          <w:rFonts w:ascii="Times New Roman" w:hAnsi="Times New Roman" w:cs="Times New Roman"/>
          <w:sz w:val="28"/>
          <w:szCs w:val="28"/>
        </w:rPr>
        <w:t xml:space="preserve">а также на официальный интернет – ресурс не поступало. </w:t>
      </w:r>
    </w:p>
    <w:p w:rsidR="00755ECB" w:rsidRPr="00FA222F" w:rsidRDefault="00755ECB" w:rsidP="00755ECB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8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755ECB" w:rsidRPr="00F432F0" w:rsidTr="005C4FDB">
        <w:trPr>
          <w:jc w:val="center"/>
        </w:trPr>
        <w:tc>
          <w:tcPr>
            <w:tcW w:w="617" w:type="dxa"/>
          </w:tcPr>
          <w:p w:rsidR="00755ECB" w:rsidRPr="004B0AAC" w:rsidRDefault="00755ECB" w:rsidP="005C4F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755ECB" w:rsidRPr="004B0AAC" w:rsidRDefault="00755ECB" w:rsidP="005C4F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755ECB" w:rsidRPr="004B0AAC" w:rsidRDefault="00755ECB" w:rsidP="005C4F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755ECB" w:rsidRPr="004B0AAC" w:rsidRDefault="00755ECB" w:rsidP="005C4F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755ECB" w:rsidRPr="004B0AAC" w:rsidRDefault="00755ECB" w:rsidP="005C4F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:rsidR="00755ECB" w:rsidRPr="004B0AAC" w:rsidRDefault="00755ECB" w:rsidP="005C4F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755ECB" w:rsidRPr="00F432F0" w:rsidTr="005C4FDB">
        <w:trPr>
          <w:jc w:val="center"/>
        </w:trPr>
        <w:tc>
          <w:tcPr>
            <w:tcW w:w="617" w:type="dxa"/>
          </w:tcPr>
          <w:p w:rsidR="00755ECB" w:rsidRPr="00F432F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755ECB" w:rsidRPr="00F432F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755ECB" w:rsidRPr="00F432F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755ECB" w:rsidRPr="00F432F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755ECB" w:rsidRPr="00F432F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755ECB" w:rsidRPr="00F432F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755ECB" w:rsidRPr="00F432F0" w:rsidTr="005C4FDB">
        <w:trPr>
          <w:jc w:val="center"/>
        </w:trPr>
        <w:tc>
          <w:tcPr>
            <w:tcW w:w="617" w:type="dxa"/>
          </w:tcPr>
          <w:p w:rsidR="00755ECB" w:rsidRPr="006A3F0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755ECB" w:rsidRPr="006A3F0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755ECB" w:rsidRPr="006A3F0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755ECB" w:rsidRPr="006A3F0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755ECB" w:rsidRPr="006A3F0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755ECB" w:rsidRPr="006A3F00" w:rsidRDefault="00755ECB" w:rsidP="005C4F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755ECB" w:rsidRDefault="00755ECB" w:rsidP="00755ECB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DB5570" w:rsidRDefault="005B177D" w:rsidP="00755ECB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DB5570" w:rsidRDefault="00DB5570" w:rsidP="00755ECB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570" w:rsidRDefault="00DB5570" w:rsidP="00755ECB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5ECB" w:rsidRPr="00755ECB" w:rsidRDefault="00755ECB" w:rsidP="000B7E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55ECB" w:rsidRPr="00755ECB" w:rsidSect="005B177D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8CD"/>
    <w:rsid w:val="000A1A41"/>
    <w:rsid w:val="000B347F"/>
    <w:rsid w:val="000B7E10"/>
    <w:rsid w:val="001521F8"/>
    <w:rsid w:val="001708CD"/>
    <w:rsid w:val="00213989"/>
    <w:rsid w:val="002A5E13"/>
    <w:rsid w:val="002C61DB"/>
    <w:rsid w:val="002D6F33"/>
    <w:rsid w:val="002F0A04"/>
    <w:rsid w:val="002F4F00"/>
    <w:rsid w:val="0034071B"/>
    <w:rsid w:val="0035342C"/>
    <w:rsid w:val="0039345E"/>
    <w:rsid w:val="00484061"/>
    <w:rsid w:val="00517E84"/>
    <w:rsid w:val="00587086"/>
    <w:rsid w:val="005907F9"/>
    <w:rsid w:val="00592A17"/>
    <w:rsid w:val="005B177D"/>
    <w:rsid w:val="00604283"/>
    <w:rsid w:val="006142BD"/>
    <w:rsid w:val="00631B2B"/>
    <w:rsid w:val="006C4785"/>
    <w:rsid w:val="00755ECB"/>
    <w:rsid w:val="007C5521"/>
    <w:rsid w:val="007E4B2F"/>
    <w:rsid w:val="00805BE1"/>
    <w:rsid w:val="0081306A"/>
    <w:rsid w:val="0083684F"/>
    <w:rsid w:val="008B0CFE"/>
    <w:rsid w:val="008C5DD9"/>
    <w:rsid w:val="0093484D"/>
    <w:rsid w:val="009754D8"/>
    <w:rsid w:val="00980ED5"/>
    <w:rsid w:val="00A35F65"/>
    <w:rsid w:val="00A505B4"/>
    <w:rsid w:val="00A62F39"/>
    <w:rsid w:val="00A850F8"/>
    <w:rsid w:val="00AE02E3"/>
    <w:rsid w:val="00B519E9"/>
    <w:rsid w:val="00B76B7E"/>
    <w:rsid w:val="00BB22FC"/>
    <w:rsid w:val="00BE08A9"/>
    <w:rsid w:val="00C34A33"/>
    <w:rsid w:val="00CC01CD"/>
    <w:rsid w:val="00CF14F0"/>
    <w:rsid w:val="00D326CF"/>
    <w:rsid w:val="00DA5896"/>
    <w:rsid w:val="00DB5570"/>
    <w:rsid w:val="00E53799"/>
    <w:rsid w:val="00E60159"/>
    <w:rsid w:val="00E7032A"/>
    <w:rsid w:val="00F3657F"/>
    <w:rsid w:val="00FC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243C8-C950-426F-8D4E-943C4A9D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F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C0FB0"/>
    <w:pPr>
      <w:spacing w:after="0" w:line="240" w:lineRule="auto"/>
    </w:pPr>
  </w:style>
  <w:style w:type="paragraph" w:customStyle="1" w:styleId="Default">
    <w:name w:val="Default"/>
    <w:rsid w:val="002C6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C5521"/>
    <w:rPr>
      <w:color w:val="0563C1"/>
      <w:u w:val="single"/>
    </w:rPr>
  </w:style>
  <w:style w:type="paragraph" w:customStyle="1" w:styleId="td-type">
    <w:name w:val="td-type"/>
    <w:basedOn w:val="a"/>
    <w:rsid w:val="002A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7E10"/>
    <w:pPr>
      <w:ind w:left="720"/>
      <w:contextualSpacing/>
    </w:pPr>
  </w:style>
  <w:style w:type="table" w:styleId="a8">
    <w:name w:val="Table Grid"/>
    <w:basedOn w:val="a1"/>
    <w:uiPriority w:val="39"/>
    <w:rsid w:val="0075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B5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03.esil.aqmoedu.kz/content/otchet-po-gosudarstvennym-uslugam-za-2024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uSerPc</cp:lastModifiedBy>
  <cp:revision>30</cp:revision>
  <cp:lastPrinted>2025-04-07T09:30:00Z</cp:lastPrinted>
  <dcterms:created xsi:type="dcterms:W3CDTF">2022-02-04T10:50:00Z</dcterms:created>
  <dcterms:modified xsi:type="dcterms:W3CDTF">2025-04-07T09:52:00Z</dcterms:modified>
</cp:coreProperties>
</file>