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5914A2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"Бастауыш, негізгі орта, жалпы орта білім беру ұйымдары арасында балаларды ауыстыру үшін құжаттарды қабылдау" мемлекеттік қызмет көрсетуге қойылатын негізгі талаптардың тізбесі</w:t>
      </w:r>
    </w:p>
    <w:p w:rsidR="005914A2" w:rsidRDefault="005914A2" w:rsidP="005914A2">
      <w:pPr>
        <w:pStyle w:val="a3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kk-KZ" w:eastAsia="ru-RU"/>
        </w:rPr>
      </w:pPr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kk-KZ" w:eastAsia="ru-RU"/>
        </w:rPr>
        <w:t xml:space="preserve">      </w:t>
      </w: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kk-KZ" w:eastAsia="ru-RU"/>
        </w:rPr>
      </w:pPr>
      <w:bookmarkStart w:id="0" w:name="_GoBack"/>
      <w:bookmarkEnd w:id="0"/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kk-KZ" w:eastAsia="ru-RU"/>
        </w:rPr>
        <w:t>Ескерту. 2-қосымшамен толықтырылды - ҚР Білім және ғылым министрінің 24.06.2020 </w:t>
      </w:r>
      <w:r w:rsidRPr="005914A2">
        <w:rPr>
          <w:sz w:val="20"/>
          <w:szCs w:val="20"/>
        </w:rPr>
        <w:fldChar w:fldCharType="begin"/>
      </w:r>
      <w:r w:rsidRPr="005914A2">
        <w:rPr>
          <w:sz w:val="20"/>
          <w:szCs w:val="20"/>
          <w:lang w:val="kk-KZ"/>
        </w:rPr>
        <w:instrText xml:space="preserve"> HYPERLINK "https://adilet.zan.kz/kaz/docs/V2000020899" \l "z21" </w:instrText>
      </w:r>
      <w:r w:rsidRPr="005914A2">
        <w:rPr>
          <w:sz w:val="20"/>
          <w:szCs w:val="20"/>
        </w:rPr>
        <w:fldChar w:fldCharType="separate"/>
      </w:r>
      <w:r w:rsidRPr="005914A2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val="kk-KZ" w:eastAsia="ru-RU"/>
        </w:rPr>
        <w:t>№ 264</w:t>
      </w:r>
      <w:r w:rsidRPr="005914A2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fldChar w:fldCharType="end"/>
      </w:r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kk-KZ" w:eastAsia="ru-RU"/>
        </w:rPr>
        <w:t> (алғашқы ресми жарияланған күнінен кейін күнтізбелік он күн өткен соң қолданысқа енгізіледі); жаңа редакцияда - ҚР Оқу-ағарту министрінің 04.04.2023 </w:t>
      </w:r>
      <w:r w:rsidRPr="005914A2">
        <w:rPr>
          <w:sz w:val="20"/>
          <w:szCs w:val="20"/>
        </w:rPr>
        <w:fldChar w:fldCharType="begin"/>
      </w:r>
      <w:r w:rsidRPr="005914A2">
        <w:rPr>
          <w:sz w:val="20"/>
          <w:szCs w:val="20"/>
          <w:lang w:val="kk-KZ"/>
        </w:rPr>
        <w:instrText xml:space="preserve"> HYPERLINK "https://adilet.zan.kz/kaz/docs/V2300032241" \l "z14" </w:instrText>
      </w:r>
      <w:r w:rsidRPr="005914A2">
        <w:rPr>
          <w:sz w:val="20"/>
          <w:szCs w:val="20"/>
        </w:rPr>
        <w:fldChar w:fldCharType="separate"/>
      </w:r>
      <w:r w:rsidRPr="005914A2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val="kk-KZ" w:eastAsia="ru-RU"/>
        </w:rPr>
        <w:t>№ 84</w:t>
      </w:r>
      <w:r w:rsidRPr="005914A2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fldChar w:fldCharType="end"/>
      </w:r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kk-KZ" w:eastAsia="ru-RU"/>
        </w:rPr>
        <w:t> (алғашқы ресми жарияланған күнінен кейін күнтізбелік он күн өткен соң қолданысқа енгізіледі) бұйрықтарымен.</w:t>
      </w:r>
    </w:p>
    <w:tbl>
      <w:tblPr>
        <w:tblW w:w="10490" w:type="dxa"/>
        <w:tblInd w:w="-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766"/>
        <w:gridCol w:w="5369"/>
      </w:tblGrid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Бастауыш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бұдан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"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үкіметтің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веб-порталы www.egov.kz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бұдан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портал);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30 минут.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автоматтандырылған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)/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жеткізгіште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ұйымға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әкесінің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(бар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сыныбы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мектебі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(телефон,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пошталық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мекен-жай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пошта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мекен-жайы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ресми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есептен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талонын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дәлелді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тартады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ызметт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жеткізгіште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әкесінің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(бар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сыныбы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телефоны,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ресми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есептен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талонын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ұсынады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Оқуға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келгені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есептен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талонының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пн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ұсқасы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келгені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есептен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талонының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түпнұсқасын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ұсынғаннан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беріледі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кететін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ұсынылады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сырттай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куәліктің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пн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ұсқасы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сырттай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куәліктің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түпнұсқасын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ұсынғаннан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беріледі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кететін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беріледі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алушыны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бұйрықтар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шығарады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салыстыру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жүргізеді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өлшері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көзделген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оны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hyperlink r:id="rId5" w:anchor="z205" w:history="1">
              <w:r w:rsidRPr="005914A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(бұдан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Кодекс)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күндерін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дүйсенбіден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жұманы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13.00-ден 14.30-ға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түскі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үзіліспен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9.00-ден 18.30-ға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 –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жөндеу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жүргізуге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үзілістерді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аяқталғаннан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күндері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жүгінген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өтініштерді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нәтижелерін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 </w:t>
            </w:r>
            <w:hyperlink r:id="rId6" w:anchor="z205" w:history="1">
              <w:r w:rsidRPr="005914A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Кодекске</w:t>
              </w:r>
            </w:hyperlink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үзеге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орындарының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мекенжайлары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интернет-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ресурсында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www.egov.kz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порталында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орналастырылған</w:t>
            </w:r>
            <w:proofErr w:type="spellEnd"/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қажетті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портал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ата-аналардың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заңды</w:t>
            </w:r>
            <w:proofErr w:type="spellEnd"/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өкілдердің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2-қосымшасының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мектебі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кету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мектебіне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ата-аналардың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өкілдердің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2-қосымшасының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нысанына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мектебі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кету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мектебіне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есептен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талонында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толық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аты-жөні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сыныбы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мектебі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мекен-жайы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ресми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кетуін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ұсынатын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кеті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жатқан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алушыларды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көрсетіледі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көрсетуден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сынып-жинақталымының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шамадан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толуы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ережелерде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мерзімге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келмейді</w:t>
            </w:r>
            <w:proofErr w:type="spellEnd"/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өзге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5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күтудің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ұзақ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15 (он бес) минут.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ұзақ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ЭЦҚ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портал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бар.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тәртібі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қашықтықтан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кабинеті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анықтамалық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ірыңғай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бар.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  <w:proofErr w:type="spellEnd"/>
          </w:p>
        </w:tc>
      </w:tr>
    </w:tbl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835"/>
      </w:tblGrid>
      <w:tr w:rsidR="005914A2" w:rsidRPr="005914A2" w:rsidTr="005914A2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103"/>
            <w:bookmarkEnd w:id="1"/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"Бастауыш, негізгі орта, жалпы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орта білім беру бағдарламалары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бойынша ведомстволық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бағыныстылығына қарамастан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білім беру ұйымына құжаттарды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қабылдау" мемлекеттік қызмет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көрсетуге қойылатын негізгі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талаптардың тізбесіне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2-қосымша</w:t>
            </w:r>
          </w:p>
        </w:tc>
      </w:tr>
      <w:tr w:rsidR="005914A2" w:rsidRPr="005914A2" w:rsidTr="005914A2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ұйымының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директордың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ТАӘ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кімнен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ата-ананың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заңды</w:t>
            </w:r>
            <w:proofErr w:type="spellEnd"/>
            <w:proofErr w:type="gram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өкілдің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ТАӘ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болған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Телефоны: _________________</w:t>
            </w:r>
          </w:p>
        </w:tc>
      </w:tr>
    </w:tbl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proofErr w:type="spellStart"/>
      <w:r w:rsidRPr="005914A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Өтініш</w:t>
      </w:r>
      <w:proofErr w:type="spellEnd"/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__________________________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сыныпта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балам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(Т. А. Ә. (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_</w:t>
      </w:r>
      <w:proofErr w:type="gramEnd"/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мекеннің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ауданның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облыстың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ауыстыруды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жүйелерде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қамтылған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қорғалатын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құпияны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құрайтын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gram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келісемін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______________ "___" ________ 20__ 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Default="005914A2" w:rsidP="005914A2">
      <w:pPr>
        <w:pStyle w:val="a3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5914A2" w:rsidRPr="005914A2" w:rsidRDefault="005914A2" w:rsidP="005914A2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lastRenderedPageBreak/>
        <w:t>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      Сноска. </w:t>
      </w:r>
      <w:proofErr w:type="gramStart"/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Типовые правила дополнены приложением 2 в соответствии с приказом Министра образования и науки РК от 24.06.2020 </w:t>
      </w:r>
      <w:hyperlink r:id="rId7" w:anchor="z25" w:history="1">
        <w:r w:rsidRPr="005914A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264</w:t>
        </w:r>
      </w:hyperlink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 </w:t>
      </w:r>
      <w:hyperlink r:id="rId8" w:anchor="z25" w:history="1">
        <w:r w:rsidRPr="005914A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84</w:t>
        </w:r>
      </w:hyperlink>
      <w:r w:rsidRPr="005914A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  <w:proofErr w:type="gramEnd"/>
    </w:p>
    <w:tbl>
      <w:tblPr>
        <w:tblW w:w="10707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458"/>
        <w:gridCol w:w="5894"/>
      </w:tblGrid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веб-портал "электронного правительства" www.egov.kz (далее – портал);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Срок оказания – 30 минут.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случае обращения через портал в "личный кабинет"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при отказе оказании государственной услуги - о мотивированном отказе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 указанием причин отказа.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При приеме от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 на бумажном носителе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случае получения услуги на бумажном носителе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из которой выбывает обучающийся для получения документов (личное дело обучающегося).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выдает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документы на руки (личное дело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предоставляет документы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(личное дело) в организацию образования в которую прибывает. Организации образования издают приказы и проводят сверку о зачислении/отчислении обучающегося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организации среднего образования.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9" w:anchor="z205" w:history="1">
              <w:r w:rsidRPr="005914A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Трудовому кодексу</w:t>
              </w:r>
            </w:hyperlink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(далее – Кодекс) с перерывом на обед с 13.00 часов до 14.30 часов.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обращении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в выходные и праздничные дни согласно </w:t>
            </w:r>
            <w:hyperlink r:id="rId10" w:anchor="z205" w:history="1">
              <w:r w:rsidRPr="005914A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Кодексу</w:t>
              </w:r>
            </w:hyperlink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на: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интернет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ресурса-портале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www.egov.kz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Документы по установленному перечню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необходимых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-через портал: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бумажно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):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организации образования (за исключением обучающихся, выбывающих за пределы Республики Казахстан, которые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предоставляют документ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подтверждающий выезд за пределы Республики Казахстан).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переполненность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класс-комплектов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сроки подачи заявления не соответствуют установленным в настоящих правилах срокам.</w:t>
            </w:r>
          </w:p>
        </w:tc>
      </w:tr>
      <w:tr w:rsidR="005914A2" w:rsidRPr="005914A2" w:rsidTr="005914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максимально допустимое время ожидания для сдачи пакета документов -15 минут.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максимально допустимое время обслуживания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30 минут.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gramStart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5914A2" w:rsidRPr="005914A2" w:rsidRDefault="005914A2" w:rsidP="005914A2">
      <w:pPr>
        <w:pStyle w:val="a3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3402"/>
      </w:tblGrid>
      <w:tr w:rsidR="005914A2" w:rsidRPr="005914A2" w:rsidTr="00C67C8F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07"/>
            <w:bookmarkEnd w:id="2"/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Перечень основных требований к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оказанию государственной услуги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услуги:</w:t>
            </w:r>
            <w:proofErr w:type="gramEnd"/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для перевода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между организациями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5914A2" w:rsidRPr="005914A2" w:rsidTr="00C67C8F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4A2" w:rsidRPr="005914A2" w:rsidTr="00C67C8F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14A2" w:rsidRPr="005914A2" w:rsidRDefault="005914A2" w:rsidP="00C67C8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Директору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организации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ФИО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 директора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_________________________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ФИО (при его наличии) родителя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(законного представителя)</w:t>
            </w:r>
            <w:r w:rsidRPr="0059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Телефон:___________</w:t>
            </w:r>
          </w:p>
        </w:tc>
      </w:tr>
    </w:tbl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                              Заявление</w:t>
      </w:r>
    </w:p>
    <w:p w:rsidR="005914A2" w:rsidRPr="005914A2" w:rsidRDefault="005914A2" w:rsidP="005914A2">
      <w:pPr>
        <w:pStyle w:val="a3"/>
        <w:ind w:left="85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Прошу перевести моего ребенка ____________________________________________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(ФИО (при его наличии) ребенка)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обучающегося ____________ класса _______________________________________________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(полное наименование организации образования)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(адрес регистрации, город, село, район, область)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для обучения __________________________________________________________________.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(полное наименование организации образования)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Даю согласие на использование защищенной законом конфиденциальной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информации, содержащейся в информационных системах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_________________"____"______________20___год</w:t>
      </w:r>
      <w:r w:rsidRPr="005914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(подпись)</w:t>
      </w:r>
      <w:proofErr w:type="gramEnd"/>
    </w:p>
    <w:p w:rsidR="006C3287" w:rsidRPr="005914A2" w:rsidRDefault="006C3287">
      <w:pPr>
        <w:rPr>
          <w:sz w:val="20"/>
          <w:szCs w:val="20"/>
          <w:lang w:val="kk-KZ"/>
        </w:rPr>
      </w:pPr>
    </w:p>
    <w:p w:rsidR="005914A2" w:rsidRPr="005914A2" w:rsidRDefault="005914A2">
      <w:pPr>
        <w:rPr>
          <w:sz w:val="20"/>
          <w:szCs w:val="20"/>
          <w:lang w:val="kk-KZ"/>
        </w:rPr>
      </w:pPr>
    </w:p>
    <w:p w:rsidR="005914A2" w:rsidRPr="005914A2" w:rsidRDefault="005914A2">
      <w:pPr>
        <w:rPr>
          <w:sz w:val="20"/>
          <w:szCs w:val="20"/>
          <w:lang w:val="kk-KZ"/>
        </w:rPr>
      </w:pPr>
    </w:p>
    <w:sectPr w:rsidR="005914A2" w:rsidRPr="0059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F0"/>
    <w:rsid w:val="005914A2"/>
    <w:rsid w:val="006C3287"/>
    <w:rsid w:val="006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2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89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K1500000414" TargetMode="External"/><Relationship Id="rId10" Type="http://schemas.openxmlformats.org/officeDocument/2006/relationships/hyperlink" Target="https://adilet.zan.kz/rus/docs/K150000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2039</Words>
  <Characters>11624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2024-10-29T09:59:00Z</dcterms:created>
  <dcterms:modified xsi:type="dcterms:W3CDTF">2024-10-29T10:06:00Z</dcterms:modified>
</cp:coreProperties>
</file>